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B1" w:rsidRPr="008754BA" w:rsidRDefault="008754BA" w:rsidP="008754BA">
      <w:pPr>
        <w:jc w:val="center"/>
        <w:rPr>
          <w:rFonts w:ascii="Times New Roman" w:hAnsi="Times New Roman" w:cs="Times New Roman"/>
          <w:sz w:val="36"/>
          <w:szCs w:val="36"/>
        </w:rPr>
      </w:pPr>
      <w:r w:rsidRPr="008754BA">
        <w:rPr>
          <w:rFonts w:ascii="Times New Roman" w:hAnsi="Times New Roman" w:cs="Times New Roman"/>
          <w:sz w:val="36"/>
          <w:szCs w:val="36"/>
        </w:rPr>
        <w:t>TEORÍA DEL APRENDIZAJE DE BRUNER</w:t>
      </w:r>
    </w:p>
    <w:p w:rsidR="00823BEF" w:rsidRPr="008754BA" w:rsidRDefault="00823BEF" w:rsidP="008754BA">
      <w:pPr>
        <w:spacing w:line="240" w:lineRule="auto"/>
        <w:ind w:left="851" w:right="851"/>
        <w:jc w:val="both"/>
        <w:rPr>
          <w:rFonts w:ascii="Comic Sans MS" w:hAnsi="Comic Sans MS"/>
          <w:sz w:val="24"/>
          <w:szCs w:val="24"/>
        </w:rPr>
      </w:pPr>
      <w:r w:rsidRPr="008754BA">
        <w:rPr>
          <w:rFonts w:ascii="Comic Sans MS" w:hAnsi="Comic Sans MS"/>
          <w:sz w:val="24"/>
          <w:szCs w:val="24"/>
        </w:rPr>
        <w:t>El aprendizaje consiste esencialmente en la categorización (que ocurre para simplificar la interacción con la realidad y facilitar la acción). La categorización está estrechamente relacionada con procesos como la selección de información, generación de proposiciones, simplificación, toma de decisiones y construcción y verificación de hipótesis. El aprendiz interactúa con la realidad organizando los inputs según sus propias categorías, posiblemente creando nuevas, o modificando las preexistentes. Las categorías determinan distintos conceptos. Es por todo esto que el aprendizaje es un proceso activo, de asociación y construcción.</w:t>
      </w:r>
    </w:p>
    <w:p w:rsidR="00823BEF" w:rsidRPr="008754BA" w:rsidRDefault="00823BEF" w:rsidP="008754BA">
      <w:pPr>
        <w:spacing w:line="240" w:lineRule="auto"/>
        <w:ind w:left="851" w:firstLine="709"/>
        <w:jc w:val="both"/>
        <w:rPr>
          <w:rFonts w:ascii="Times New Roman" w:hAnsi="Times New Roman" w:cs="Times New Roman"/>
          <w:sz w:val="24"/>
          <w:szCs w:val="24"/>
        </w:rPr>
      </w:pPr>
      <w:r w:rsidRPr="008754BA">
        <w:rPr>
          <w:rFonts w:ascii="Times New Roman" w:hAnsi="Times New Roman" w:cs="Times New Roman"/>
          <w:sz w:val="24"/>
          <w:szCs w:val="24"/>
        </w:rPr>
        <w:t xml:space="preserve">Otra consecuencia es que la estructura cognitiva previa del </w:t>
      </w:r>
      <w:r w:rsidR="008754BA" w:rsidRPr="008754BA">
        <w:rPr>
          <w:rFonts w:ascii="Times New Roman" w:hAnsi="Times New Roman" w:cs="Times New Roman"/>
          <w:sz w:val="24"/>
          <w:szCs w:val="24"/>
        </w:rPr>
        <w:t>aprendiz (</w:t>
      </w:r>
      <w:r w:rsidRPr="008754BA">
        <w:rPr>
          <w:rFonts w:ascii="Times New Roman" w:hAnsi="Times New Roman" w:cs="Times New Roman"/>
          <w:sz w:val="24"/>
          <w:szCs w:val="24"/>
        </w:rPr>
        <w:t xml:space="preserve">sus </w:t>
      </w:r>
      <w:r w:rsidR="008754BA" w:rsidRPr="008754BA">
        <w:rPr>
          <w:rFonts w:ascii="Times New Roman" w:hAnsi="Times New Roman" w:cs="Times New Roman"/>
          <w:sz w:val="24"/>
          <w:szCs w:val="24"/>
        </w:rPr>
        <w:t>modelos</w:t>
      </w:r>
      <w:r w:rsidRPr="008754BA">
        <w:rPr>
          <w:rFonts w:ascii="Times New Roman" w:hAnsi="Times New Roman" w:cs="Times New Roman"/>
          <w:sz w:val="24"/>
          <w:szCs w:val="24"/>
        </w:rPr>
        <w:t xml:space="preserve"> mentales y esquemas) es un factor esencial en </w:t>
      </w:r>
      <w:r w:rsidR="008754BA" w:rsidRPr="008754BA">
        <w:rPr>
          <w:rFonts w:ascii="Times New Roman" w:hAnsi="Times New Roman" w:cs="Times New Roman"/>
          <w:sz w:val="24"/>
          <w:szCs w:val="24"/>
        </w:rPr>
        <w:t>el</w:t>
      </w:r>
      <w:r w:rsidRPr="008754BA">
        <w:rPr>
          <w:rFonts w:ascii="Times New Roman" w:hAnsi="Times New Roman" w:cs="Times New Roman"/>
          <w:sz w:val="24"/>
          <w:szCs w:val="24"/>
        </w:rPr>
        <w:t xml:space="preserve"> aprendizaje. Esta da significación y organización a sus experiencias y le permite ir mas </w:t>
      </w:r>
      <w:r w:rsidR="008754BA" w:rsidRPr="008754BA">
        <w:rPr>
          <w:rFonts w:ascii="Times New Roman" w:hAnsi="Times New Roman" w:cs="Times New Roman"/>
          <w:sz w:val="24"/>
          <w:szCs w:val="24"/>
        </w:rPr>
        <w:t>allá</w:t>
      </w:r>
      <w:r w:rsidRPr="008754BA">
        <w:rPr>
          <w:rFonts w:ascii="Times New Roman" w:hAnsi="Times New Roman" w:cs="Times New Roman"/>
          <w:sz w:val="24"/>
          <w:szCs w:val="24"/>
        </w:rPr>
        <w:t xml:space="preserve"> de la información dada, ya que para integrarla a su </w:t>
      </w:r>
      <w:r w:rsidR="008754BA" w:rsidRPr="008754BA">
        <w:rPr>
          <w:rFonts w:ascii="Times New Roman" w:hAnsi="Times New Roman" w:cs="Times New Roman"/>
          <w:sz w:val="24"/>
          <w:szCs w:val="24"/>
        </w:rPr>
        <w:t>estructura</w:t>
      </w:r>
      <w:r w:rsidRPr="008754BA">
        <w:rPr>
          <w:rFonts w:ascii="Times New Roman" w:hAnsi="Times New Roman" w:cs="Times New Roman"/>
          <w:sz w:val="24"/>
          <w:szCs w:val="24"/>
        </w:rPr>
        <w:t xml:space="preserve"> debe contextualizar y profundizarla.</w:t>
      </w:r>
    </w:p>
    <w:p w:rsidR="00823BEF" w:rsidRPr="008754BA" w:rsidRDefault="00823BEF" w:rsidP="008754BA">
      <w:pPr>
        <w:spacing w:line="240" w:lineRule="auto"/>
        <w:ind w:left="538" w:hanging="181"/>
        <w:jc w:val="both"/>
        <w:rPr>
          <w:rFonts w:ascii="Times New Roman" w:hAnsi="Times New Roman" w:cs="Times New Roman"/>
          <w:sz w:val="24"/>
          <w:szCs w:val="24"/>
        </w:rPr>
      </w:pPr>
      <w:r w:rsidRPr="008754BA">
        <w:rPr>
          <w:rFonts w:ascii="Times New Roman" w:hAnsi="Times New Roman" w:cs="Times New Roman"/>
          <w:sz w:val="24"/>
          <w:szCs w:val="24"/>
        </w:rPr>
        <w:t>Para formar una categoría se pueden seguir estas reglas:</w:t>
      </w:r>
    </w:p>
    <w:p w:rsidR="00823BEF" w:rsidRPr="008754BA" w:rsidRDefault="00823BEF" w:rsidP="008754BA">
      <w:pPr>
        <w:pStyle w:val="Prrafodelista"/>
        <w:numPr>
          <w:ilvl w:val="0"/>
          <w:numId w:val="1"/>
        </w:numPr>
        <w:spacing w:line="240" w:lineRule="auto"/>
        <w:ind w:left="538" w:hanging="181"/>
        <w:jc w:val="both"/>
        <w:rPr>
          <w:rFonts w:ascii="Times New Roman" w:hAnsi="Times New Roman" w:cs="Times New Roman"/>
          <w:color w:val="00B0F0"/>
          <w:sz w:val="24"/>
          <w:szCs w:val="24"/>
        </w:rPr>
      </w:pPr>
      <w:r w:rsidRPr="008754BA">
        <w:rPr>
          <w:rFonts w:ascii="Times New Roman" w:hAnsi="Times New Roman" w:cs="Times New Roman"/>
          <w:color w:val="00B0F0"/>
          <w:sz w:val="24"/>
          <w:szCs w:val="24"/>
        </w:rPr>
        <w:t>Definir los atributos esenciales de sus miembros, incluyendo sus componentes esenciales.</w:t>
      </w:r>
    </w:p>
    <w:p w:rsidR="00823BEF" w:rsidRPr="008754BA" w:rsidRDefault="00823BEF" w:rsidP="008754BA">
      <w:pPr>
        <w:pStyle w:val="Prrafodelista"/>
        <w:numPr>
          <w:ilvl w:val="0"/>
          <w:numId w:val="1"/>
        </w:numPr>
        <w:spacing w:line="240" w:lineRule="auto"/>
        <w:ind w:left="538" w:hanging="181"/>
        <w:jc w:val="both"/>
        <w:rPr>
          <w:rFonts w:ascii="Times New Roman" w:hAnsi="Times New Roman" w:cs="Times New Roman"/>
          <w:color w:val="FF0000"/>
          <w:sz w:val="24"/>
          <w:szCs w:val="24"/>
        </w:rPr>
      </w:pPr>
      <w:r w:rsidRPr="008754BA">
        <w:rPr>
          <w:rFonts w:ascii="Times New Roman" w:hAnsi="Times New Roman" w:cs="Times New Roman"/>
          <w:color w:val="FF0000"/>
          <w:sz w:val="24"/>
          <w:szCs w:val="24"/>
        </w:rPr>
        <w:t>Describir cómo deben estar integradas sus componentes esenciales.</w:t>
      </w:r>
    </w:p>
    <w:p w:rsidR="00823BEF" w:rsidRPr="008754BA" w:rsidRDefault="00823BEF" w:rsidP="008754BA">
      <w:pPr>
        <w:pStyle w:val="Prrafodelista"/>
        <w:numPr>
          <w:ilvl w:val="0"/>
          <w:numId w:val="1"/>
        </w:numPr>
        <w:spacing w:line="240" w:lineRule="auto"/>
        <w:ind w:left="538" w:hanging="181"/>
        <w:jc w:val="both"/>
        <w:rPr>
          <w:rFonts w:ascii="Times New Roman" w:hAnsi="Times New Roman" w:cs="Times New Roman"/>
          <w:color w:val="00B050"/>
          <w:sz w:val="24"/>
          <w:szCs w:val="24"/>
        </w:rPr>
      </w:pPr>
      <w:r w:rsidRPr="008754BA">
        <w:rPr>
          <w:rFonts w:ascii="Times New Roman" w:hAnsi="Times New Roman" w:cs="Times New Roman"/>
          <w:color w:val="00B050"/>
          <w:sz w:val="24"/>
          <w:szCs w:val="24"/>
        </w:rPr>
        <w:t>Definir los límites de tolerancia de los distintos atributos para que un miembro pertenezca a la categoría</w:t>
      </w:r>
    </w:p>
    <w:p w:rsidR="00823BEF" w:rsidRPr="008754BA" w:rsidRDefault="00372365" w:rsidP="003450E4">
      <w:pPr>
        <w:rPr>
          <w:rFonts w:ascii="Times New Roman" w:hAnsi="Times New Roman" w:cs="Times New Roman"/>
          <w:b/>
          <w:i/>
          <w:sz w:val="36"/>
          <w:u w:val="single"/>
        </w:rPr>
      </w:pPr>
      <w:r w:rsidRPr="008754BA">
        <w:rPr>
          <w:rFonts w:ascii="Times New Roman" w:hAnsi="Times New Roman" w:cs="Times New Roman"/>
          <w:b/>
          <w:i/>
          <w:sz w:val="36"/>
          <w:u w:val="single"/>
        </w:rPr>
        <w:t>MODO DE REPRESENTACIÓN</w:t>
      </w:r>
    </w:p>
    <w:p w:rsidR="00372365" w:rsidRPr="003450E4" w:rsidRDefault="00372365" w:rsidP="003450E4">
      <w:pPr>
        <w:spacing w:line="360" w:lineRule="auto"/>
        <w:jc w:val="both"/>
        <w:rPr>
          <w:rFonts w:ascii="Bell MT" w:hAnsi="Bell MT"/>
          <w:sz w:val="24"/>
        </w:rPr>
      </w:pPr>
      <w:r w:rsidRPr="003450E4">
        <w:rPr>
          <w:rFonts w:ascii="Bell MT" w:hAnsi="Bell MT"/>
          <w:sz w:val="24"/>
        </w:rPr>
        <w:t xml:space="preserve">Bruner ha distinguido tres modos básicos mediante los cuales el hombre representa sus modelos mentales y la realidad. Estos son los modos enactivo, icónico y </w:t>
      </w:r>
      <w:r w:rsidR="008754BA" w:rsidRPr="003450E4">
        <w:rPr>
          <w:rFonts w:ascii="Bell MT" w:hAnsi="Bell MT"/>
          <w:sz w:val="24"/>
        </w:rPr>
        <w:t>simbólico</w:t>
      </w:r>
      <w:r w:rsidRPr="003450E4">
        <w:rPr>
          <w:rFonts w:ascii="Bell MT" w:hAnsi="Bell MT"/>
          <w:sz w:val="24"/>
        </w:rPr>
        <w:t>.</w:t>
      </w:r>
    </w:p>
    <w:p w:rsidR="00372365" w:rsidRPr="003450E4" w:rsidRDefault="00372365" w:rsidP="003450E4">
      <w:pPr>
        <w:pStyle w:val="Prrafodelista"/>
        <w:numPr>
          <w:ilvl w:val="0"/>
          <w:numId w:val="2"/>
        </w:numPr>
        <w:spacing w:line="360" w:lineRule="auto"/>
        <w:ind w:left="714" w:hanging="357"/>
        <w:jc w:val="both"/>
        <w:rPr>
          <w:rFonts w:ascii="Bell MT" w:hAnsi="Bell MT"/>
        </w:rPr>
      </w:pPr>
      <w:r w:rsidRPr="003450E4">
        <w:rPr>
          <w:rFonts w:ascii="Bell MT" w:hAnsi="Bell MT"/>
        </w:rPr>
        <w:t>Representación enactiva: consiste en representar cosas mediante la reacción inmediata de la persona. Este tipo de representación ocurre marcadamente en los primeros años de la persona y Bruner la ha relacionado con la fase senso-motora de Piaget en la cual se fusionan la acción con la experiencia externa.</w:t>
      </w:r>
    </w:p>
    <w:p w:rsidR="00372365" w:rsidRPr="003450E4" w:rsidRDefault="00372365" w:rsidP="003450E4">
      <w:pPr>
        <w:pStyle w:val="Prrafodelista"/>
        <w:numPr>
          <w:ilvl w:val="0"/>
          <w:numId w:val="2"/>
        </w:numPr>
        <w:spacing w:line="360" w:lineRule="auto"/>
        <w:ind w:left="714" w:hanging="357"/>
        <w:jc w:val="both"/>
        <w:rPr>
          <w:rFonts w:ascii="Bell MT" w:hAnsi="Bell MT"/>
        </w:rPr>
      </w:pPr>
      <w:r w:rsidRPr="003450E4">
        <w:rPr>
          <w:rFonts w:ascii="Bell MT" w:hAnsi="Bell MT"/>
        </w:rPr>
        <w:t xml:space="preserve">Representación </w:t>
      </w:r>
      <w:r w:rsidR="008754BA" w:rsidRPr="003450E4">
        <w:rPr>
          <w:rFonts w:ascii="Bell MT" w:hAnsi="Bell MT"/>
        </w:rPr>
        <w:t>icónica</w:t>
      </w:r>
      <w:r w:rsidRPr="003450E4">
        <w:rPr>
          <w:rFonts w:ascii="Bell MT" w:hAnsi="Bell MT"/>
        </w:rPr>
        <w:t>: consiste en representar cosas mediante una imagen o esquema espacial independiente de la acción. Sin embargo tal representación sigue teniendo algún parecido con la cosa representada. La selección de la imagen no es arbitraria.</w:t>
      </w:r>
    </w:p>
    <w:p w:rsidR="00372365" w:rsidRPr="003450E4" w:rsidRDefault="00372365" w:rsidP="003450E4">
      <w:pPr>
        <w:pStyle w:val="Prrafodelista"/>
        <w:numPr>
          <w:ilvl w:val="0"/>
          <w:numId w:val="2"/>
        </w:numPr>
        <w:spacing w:line="360" w:lineRule="auto"/>
        <w:ind w:left="714" w:hanging="357"/>
        <w:jc w:val="both"/>
        <w:rPr>
          <w:rFonts w:ascii="Bell MT" w:hAnsi="Bell MT"/>
          <w:u w:val="single"/>
        </w:rPr>
      </w:pPr>
      <w:r w:rsidRPr="003450E4">
        <w:rPr>
          <w:rFonts w:ascii="Bell MT" w:hAnsi="Bell MT"/>
        </w:rPr>
        <w:t xml:space="preserve">Representación </w:t>
      </w:r>
      <w:r w:rsidR="008754BA" w:rsidRPr="003450E4">
        <w:rPr>
          <w:rFonts w:ascii="Bell MT" w:hAnsi="Bell MT"/>
        </w:rPr>
        <w:t>simbólica</w:t>
      </w:r>
      <w:r w:rsidRPr="003450E4">
        <w:rPr>
          <w:rFonts w:ascii="Bell MT" w:hAnsi="Bell MT"/>
        </w:rPr>
        <w:t xml:space="preserve">: consiste en representar una cosa mediante un símbolo </w:t>
      </w:r>
      <w:r w:rsidR="008754BA" w:rsidRPr="003450E4">
        <w:rPr>
          <w:rFonts w:ascii="Bell MT" w:hAnsi="Bell MT"/>
        </w:rPr>
        <w:t>arbitrario que</w:t>
      </w:r>
      <w:r w:rsidRPr="003450E4">
        <w:rPr>
          <w:rFonts w:ascii="Bell MT" w:hAnsi="Bell MT"/>
        </w:rPr>
        <w:t xml:space="preserve"> en su forma no guarda relación con la cosa representada. Por ejemplo, el </w:t>
      </w:r>
      <w:r w:rsidR="008754BA" w:rsidRPr="003450E4">
        <w:rPr>
          <w:rFonts w:ascii="Bell MT" w:hAnsi="Bell MT"/>
        </w:rPr>
        <w:t>número</w:t>
      </w:r>
      <w:r w:rsidRPr="003450E4">
        <w:rPr>
          <w:rFonts w:ascii="Bell MT" w:hAnsi="Bell MT"/>
        </w:rPr>
        <w:t xml:space="preserve"> tres </w:t>
      </w:r>
      <w:r w:rsidR="002967D1" w:rsidRPr="003450E4">
        <w:rPr>
          <w:rFonts w:ascii="Bell MT" w:hAnsi="Bell MT"/>
        </w:rPr>
        <w:t>se representaría icónicamente por, digamos, tres bolitas, mientras que simbólicamente basta con un 3.</w:t>
      </w:r>
    </w:p>
    <w:p w:rsidR="002967D1" w:rsidRPr="003450E4" w:rsidRDefault="002967D1" w:rsidP="003450E4">
      <w:pPr>
        <w:jc w:val="right"/>
        <w:rPr>
          <w:rFonts w:ascii="Algerian" w:hAnsi="Algerian"/>
          <w:b/>
          <w:sz w:val="36"/>
          <w:u w:val="single"/>
        </w:rPr>
      </w:pPr>
      <w:r w:rsidRPr="003450E4">
        <w:rPr>
          <w:rFonts w:ascii="Algerian" w:hAnsi="Algerian"/>
          <w:b/>
          <w:sz w:val="36"/>
          <w:u w:val="single"/>
        </w:rPr>
        <w:lastRenderedPageBreak/>
        <w:t>ASPECTOS DE UNA TEORIA DE LA INSTRUCCIÓN</w:t>
      </w:r>
    </w:p>
    <w:p w:rsidR="002967D1" w:rsidRPr="003450E4" w:rsidRDefault="002967D1" w:rsidP="003450E4">
      <w:pPr>
        <w:spacing w:line="240" w:lineRule="auto"/>
        <w:jc w:val="both"/>
        <w:rPr>
          <w:rFonts w:ascii="Bell MT" w:hAnsi="Bell MT"/>
          <w:sz w:val="28"/>
          <w:szCs w:val="28"/>
        </w:rPr>
      </w:pPr>
      <w:r w:rsidRPr="003450E4">
        <w:rPr>
          <w:rFonts w:ascii="Bell MT" w:hAnsi="Bell MT"/>
          <w:sz w:val="28"/>
          <w:szCs w:val="28"/>
        </w:rPr>
        <w:t>Bruner sostiene que toda teoría de la instrucción debe tener en cuenta los siguientes cuatro aspectos:</w:t>
      </w:r>
    </w:p>
    <w:p w:rsidR="002967D1" w:rsidRPr="003450E4" w:rsidRDefault="002967D1" w:rsidP="002967D1">
      <w:pPr>
        <w:pStyle w:val="Prrafodelista"/>
        <w:numPr>
          <w:ilvl w:val="0"/>
          <w:numId w:val="3"/>
        </w:numPr>
        <w:rPr>
          <w:b/>
          <w:color w:val="984806" w:themeColor="accent6" w:themeShade="80"/>
          <w:sz w:val="24"/>
        </w:rPr>
      </w:pPr>
      <w:r w:rsidRPr="003450E4">
        <w:rPr>
          <w:b/>
          <w:color w:val="984806" w:themeColor="accent6" w:themeShade="80"/>
          <w:sz w:val="24"/>
        </w:rPr>
        <w:t>La predisposición hacia el aprendizaje.</w:t>
      </w:r>
    </w:p>
    <w:p w:rsidR="002967D1" w:rsidRPr="003450E4" w:rsidRDefault="002967D1" w:rsidP="002967D1">
      <w:pPr>
        <w:pStyle w:val="Prrafodelista"/>
        <w:numPr>
          <w:ilvl w:val="0"/>
          <w:numId w:val="3"/>
        </w:numPr>
        <w:rPr>
          <w:b/>
          <w:color w:val="984806" w:themeColor="accent6" w:themeShade="80"/>
          <w:sz w:val="24"/>
        </w:rPr>
      </w:pPr>
      <w:r w:rsidRPr="003450E4">
        <w:rPr>
          <w:b/>
          <w:color w:val="984806" w:themeColor="accent6" w:themeShade="80"/>
          <w:sz w:val="24"/>
        </w:rPr>
        <w:t>El modo en que un conjunto de conocimientos puede estructurarse de modo que sea interiorizado lo mejor posible por le estudiante.</w:t>
      </w:r>
    </w:p>
    <w:p w:rsidR="002967D1" w:rsidRPr="003450E4" w:rsidRDefault="002967D1" w:rsidP="002967D1">
      <w:pPr>
        <w:pStyle w:val="Prrafodelista"/>
        <w:numPr>
          <w:ilvl w:val="0"/>
          <w:numId w:val="3"/>
        </w:numPr>
        <w:rPr>
          <w:b/>
          <w:color w:val="984806" w:themeColor="accent6" w:themeShade="80"/>
          <w:sz w:val="24"/>
        </w:rPr>
      </w:pPr>
      <w:r w:rsidRPr="003450E4">
        <w:rPr>
          <w:b/>
          <w:color w:val="984806" w:themeColor="accent6" w:themeShade="80"/>
          <w:sz w:val="24"/>
        </w:rPr>
        <w:t xml:space="preserve">Las secuencias </w:t>
      </w:r>
      <w:r w:rsidR="008754BA" w:rsidRPr="003450E4">
        <w:rPr>
          <w:b/>
          <w:color w:val="984806" w:themeColor="accent6" w:themeShade="80"/>
          <w:sz w:val="24"/>
        </w:rPr>
        <w:t>más</w:t>
      </w:r>
      <w:r w:rsidRPr="003450E4">
        <w:rPr>
          <w:b/>
          <w:color w:val="984806" w:themeColor="accent6" w:themeShade="80"/>
          <w:sz w:val="24"/>
        </w:rPr>
        <w:t xml:space="preserve"> efectivas para presentar un material.</w:t>
      </w:r>
    </w:p>
    <w:p w:rsidR="002967D1" w:rsidRPr="003450E4" w:rsidRDefault="002967D1" w:rsidP="002967D1">
      <w:pPr>
        <w:pStyle w:val="Prrafodelista"/>
        <w:numPr>
          <w:ilvl w:val="0"/>
          <w:numId w:val="3"/>
        </w:numPr>
        <w:rPr>
          <w:b/>
          <w:color w:val="984806" w:themeColor="accent6" w:themeShade="80"/>
          <w:sz w:val="24"/>
        </w:rPr>
      </w:pPr>
      <w:r w:rsidRPr="003450E4">
        <w:rPr>
          <w:b/>
          <w:color w:val="984806" w:themeColor="accent6" w:themeShade="80"/>
          <w:sz w:val="24"/>
        </w:rPr>
        <w:t>La naturaleza de los premios y castigos.</w:t>
      </w:r>
    </w:p>
    <w:p w:rsidR="002967D1" w:rsidRPr="003450E4" w:rsidRDefault="002967D1" w:rsidP="002967D1">
      <w:pPr>
        <w:rPr>
          <w:rFonts w:ascii="Chiller" w:hAnsi="Chiller"/>
          <w:b/>
          <w:color w:val="FF0000"/>
          <w:sz w:val="52"/>
        </w:rPr>
      </w:pPr>
      <w:r w:rsidRPr="003450E4">
        <w:rPr>
          <w:rFonts w:ascii="Chiller" w:hAnsi="Chiller"/>
          <w:b/>
          <w:color w:val="FF0000"/>
          <w:sz w:val="52"/>
        </w:rPr>
        <w:t>Implicaciones Educativas</w:t>
      </w:r>
    </w:p>
    <w:p w:rsidR="002967D1" w:rsidRPr="003450E4" w:rsidRDefault="002967D1" w:rsidP="002967D1">
      <w:pPr>
        <w:rPr>
          <w:color w:val="002060"/>
          <w:sz w:val="24"/>
        </w:rPr>
      </w:pPr>
      <w:r w:rsidRPr="003450E4">
        <w:rPr>
          <w:color w:val="002060"/>
          <w:sz w:val="24"/>
        </w:rPr>
        <w:t xml:space="preserve">Las siguientes son las implicaciones de la teoría de Bruner en la educación, y </w:t>
      </w:r>
      <w:r w:rsidR="008754BA" w:rsidRPr="003450E4">
        <w:rPr>
          <w:color w:val="002060"/>
          <w:sz w:val="24"/>
        </w:rPr>
        <w:t>más</w:t>
      </w:r>
      <w:r w:rsidRPr="003450E4">
        <w:rPr>
          <w:color w:val="002060"/>
          <w:sz w:val="24"/>
        </w:rPr>
        <w:t xml:space="preserve"> específicamente en la pedagogía:</w:t>
      </w:r>
    </w:p>
    <w:p w:rsidR="002967D1" w:rsidRPr="003450E4" w:rsidRDefault="002967D1" w:rsidP="00A06042">
      <w:pPr>
        <w:pStyle w:val="Prrafodelista"/>
        <w:numPr>
          <w:ilvl w:val="0"/>
          <w:numId w:val="4"/>
        </w:numPr>
        <w:spacing w:line="240" w:lineRule="auto"/>
        <w:ind w:left="1208" w:right="181" w:hanging="357"/>
        <w:jc w:val="both"/>
        <w:rPr>
          <w:color w:val="00B050"/>
          <w:sz w:val="24"/>
        </w:rPr>
      </w:pPr>
      <w:r w:rsidRPr="003450E4">
        <w:rPr>
          <w:b/>
          <w:color w:val="0000FF"/>
          <w:sz w:val="24"/>
          <w14:glow w14:rad="139700">
            <w14:schemeClr w14:val="accent5">
              <w14:alpha w14:val="60000"/>
              <w14:satMod w14:val="175000"/>
            </w14:schemeClr>
          </w14:glow>
        </w:rPr>
        <w:t>Aprendizaje por descubrimiento</w:t>
      </w:r>
      <w:r>
        <w:rPr>
          <w:sz w:val="24"/>
        </w:rPr>
        <w:t xml:space="preserve">: </w:t>
      </w:r>
      <w:r w:rsidRPr="003450E4">
        <w:rPr>
          <w:color w:val="00B050"/>
          <w:sz w:val="24"/>
        </w:rPr>
        <w:t xml:space="preserve">el instructor debe motivar a los estudiantes a que ellos mismos descubran relaciones entre conceptos y </w:t>
      </w:r>
      <w:r w:rsidR="008754BA" w:rsidRPr="003450E4">
        <w:rPr>
          <w:color w:val="00B050"/>
          <w:sz w:val="24"/>
        </w:rPr>
        <w:t>construyan</w:t>
      </w:r>
      <w:r w:rsidRPr="003450E4">
        <w:rPr>
          <w:color w:val="00B050"/>
          <w:sz w:val="24"/>
        </w:rPr>
        <w:t xml:space="preserve"> </w:t>
      </w:r>
      <w:r w:rsidR="008754BA" w:rsidRPr="003450E4">
        <w:rPr>
          <w:color w:val="00B050"/>
          <w:sz w:val="24"/>
        </w:rPr>
        <w:t>proposiciones</w:t>
      </w:r>
      <w:r w:rsidRPr="003450E4">
        <w:rPr>
          <w:color w:val="00B050"/>
          <w:sz w:val="24"/>
        </w:rPr>
        <w:t>.</w:t>
      </w:r>
    </w:p>
    <w:p w:rsidR="002967D1" w:rsidRPr="003450E4" w:rsidRDefault="002967D1" w:rsidP="00A06042">
      <w:pPr>
        <w:pStyle w:val="Prrafodelista"/>
        <w:numPr>
          <w:ilvl w:val="0"/>
          <w:numId w:val="4"/>
        </w:numPr>
        <w:spacing w:line="240" w:lineRule="auto"/>
        <w:ind w:left="1208" w:right="181" w:hanging="357"/>
        <w:jc w:val="both"/>
        <w:rPr>
          <w:color w:val="00B050"/>
          <w:sz w:val="24"/>
        </w:rPr>
      </w:pPr>
      <w:r w:rsidRPr="003450E4">
        <w:rPr>
          <w:b/>
          <w:color w:val="0000FF"/>
          <w:sz w:val="24"/>
          <w14:glow w14:rad="139700">
            <w14:schemeClr w14:val="accent5">
              <w14:alpha w14:val="60000"/>
              <w14:satMod w14:val="175000"/>
            </w14:schemeClr>
          </w14:glow>
        </w:rPr>
        <w:t>Dialogo activo</w:t>
      </w:r>
      <w:r>
        <w:rPr>
          <w:sz w:val="24"/>
        </w:rPr>
        <w:t xml:space="preserve">: </w:t>
      </w:r>
      <w:r w:rsidRPr="003450E4">
        <w:rPr>
          <w:color w:val="00B050"/>
          <w:sz w:val="24"/>
        </w:rPr>
        <w:t xml:space="preserve">el </w:t>
      </w:r>
      <w:r w:rsidR="008754BA" w:rsidRPr="003450E4">
        <w:rPr>
          <w:color w:val="00B050"/>
          <w:sz w:val="24"/>
        </w:rPr>
        <w:t>instructor</w:t>
      </w:r>
      <w:r w:rsidRPr="003450E4">
        <w:rPr>
          <w:color w:val="00B050"/>
          <w:sz w:val="24"/>
        </w:rPr>
        <w:t xml:space="preserve"> y el estudiante deben involucrarse en un dialogo </w:t>
      </w:r>
      <w:r w:rsidR="008754BA" w:rsidRPr="003450E4">
        <w:rPr>
          <w:color w:val="00B050"/>
          <w:sz w:val="24"/>
        </w:rPr>
        <w:t>activo (</w:t>
      </w:r>
      <w:r w:rsidRPr="003450E4">
        <w:rPr>
          <w:color w:val="00B050"/>
          <w:sz w:val="24"/>
        </w:rPr>
        <w:t>p.ej., aprendizaje socrático).</w:t>
      </w:r>
    </w:p>
    <w:p w:rsidR="002967D1" w:rsidRPr="003450E4" w:rsidRDefault="002967D1" w:rsidP="00A06042">
      <w:pPr>
        <w:pStyle w:val="Prrafodelista"/>
        <w:numPr>
          <w:ilvl w:val="0"/>
          <w:numId w:val="4"/>
        </w:numPr>
        <w:spacing w:line="240" w:lineRule="auto"/>
        <w:ind w:left="1208" w:right="181" w:hanging="357"/>
        <w:jc w:val="both"/>
        <w:rPr>
          <w:color w:val="00B050"/>
          <w:sz w:val="24"/>
        </w:rPr>
      </w:pPr>
      <w:r w:rsidRPr="003450E4">
        <w:rPr>
          <w:b/>
          <w:color w:val="0000FF"/>
          <w:sz w:val="24"/>
          <w14:glow w14:rad="139700">
            <w14:schemeClr w14:val="accent5">
              <w14:alpha w14:val="60000"/>
              <w14:satMod w14:val="175000"/>
            </w14:schemeClr>
          </w14:glow>
        </w:rPr>
        <w:t>Formato adecuado de la información</w:t>
      </w:r>
      <w:r>
        <w:rPr>
          <w:sz w:val="24"/>
        </w:rPr>
        <w:t xml:space="preserve">: </w:t>
      </w:r>
      <w:r w:rsidRPr="003450E4">
        <w:rPr>
          <w:color w:val="00B050"/>
          <w:sz w:val="24"/>
        </w:rPr>
        <w:t xml:space="preserve">el instructor cebe </w:t>
      </w:r>
      <w:r w:rsidR="008754BA" w:rsidRPr="003450E4">
        <w:rPr>
          <w:color w:val="00B050"/>
          <w:sz w:val="24"/>
        </w:rPr>
        <w:t>encargarse</w:t>
      </w:r>
      <w:r w:rsidRPr="003450E4">
        <w:rPr>
          <w:color w:val="00B050"/>
          <w:sz w:val="24"/>
        </w:rPr>
        <w:t xml:space="preserve"> de que la información con la que el estudiante </w:t>
      </w:r>
      <w:r w:rsidR="008754BA" w:rsidRPr="003450E4">
        <w:rPr>
          <w:color w:val="00B050"/>
          <w:sz w:val="24"/>
        </w:rPr>
        <w:t>interactúa</w:t>
      </w:r>
      <w:r w:rsidRPr="003450E4">
        <w:rPr>
          <w:color w:val="00B050"/>
          <w:sz w:val="24"/>
        </w:rPr>
        <w:t xml:space="preserve"> este en un formato apropiado para su estructura cognitiva-</w:t>
      </w:r>
    </w:p>
    <w:p w:rsidR="002967D1" w:rsidRPr="003450E4" w:rsidRDefault="002967D1" w:rsidP="00A06042">
      <w:pPr>
        <w:pStyle w:val="Prrafodelista"/>
        <w:numPr>
          <w:ilvl w:val="0"/>
          <w:numId w:val="4"/>
        </w:numPr>
        <w:spacing w:line="240" w:lineRule="auto"/>
        <w:ind w:left="1208" w:right="181" w:hanging="357"/>
        <w:jc w:val="both"/>
        <w:rPr>
          <w:color w:val="00B050"/>
          <w:sz w:val="24"/>
        </w:rPr>
      </w:pPr>
      <w:r w:rsidRPr="003450E4">
        <w:rPr>
          <w:b/>
          <w:color w:val="0000FF"/>
          <w:sz w:val="24"/>
          <w14:glow w14:rad="139700">
            <w14:schemeClr w14:val="accent5">
              <w14:alpha w14:val="60000"/>
              <w14:satMod w14:val="175000"/>
            </w14:schemeClr>
          </w14:glow>
        </w:rPr>
        <w:t>Currículo espiral:</w:t>
      </w:r>
      <w:r w:rsidRPr="003450E4">
        <w:rPr>
          <w:sz w:val="24"/>
          <w14:glow w14:rad="139700">
            <w14:schemeClr w14:val="accent5">
              <w14:alpha w14:val="60000"/>
              <w14:satMod w14:val="175000"/>
            </w14:schemeClr>
          </w14:glow>
        </w:rPr>
        <w:t xml:space="preserve"> </w:t>
      </w:r>
      <w:r w:rsidRPr="003450E4">
        <w:rPr>
          <w:color w:val="00B050"/>
          <w:sz w:val="24"/>
        </w:rPr>
        <w:t>el currículo debe organizarse de forma espiral, es decir, trabajando periódicamente los mismos contenidos, cada vez con mayor profundidad. Esto para que el estudiante continuamente modifique las representaciones mentales que ha venido construyendo.</w:t>
      </w:r>
    </w:p>
    <w:p w:rsidR="002967D1" w:rsidRPr="003450E4" w:rsidRDefault="00A15294" w:rsidP="00A06042">
      <w:pPr>
        <w:pStyle w:val="Prrafodelista"/>
        <w:numPr>
          <w:ilvl w:val="0"/>
          <w:numId w:val="4"/>
        </w:numPr>
        <w:spacing w:line="240" w:lineRule="auto"/>
        <w:ind w:left="1208" w:right="181" w:hanging="357"/>
        <w:jc w:val="both"/>
        <w:rPr>
          <w:color w:val="00B050"/>
          <w:sz w:val="24"/>
        </w:rPr>
      </w:pPr>
      <w:r w:rsidRPr="003450E4">
        <w:rPr>
          <w:b/>
          <w:color w:val="0000FF"/>
          <w:sz w:val="24"/>
          <w14:glow w14:rad="139700">
            <w14:schemeClr w14:val="accent5">
              <w14:alpha w14:val="60000"/>
              <w14:satMod w14:val="175000"/>
            </w14:schemeClr>
          </w14:glow>
        </w:rPr>
        <w:t>Extrapolación</w:t>
      </w:r>
      <w:r w:rsidR="002967D1" w:rsidRPr="003450E4">
        <w:rPr>
          <w:b/>
          <w:color w:val="0000FF"/>
          <w:sz w:val="24"/>
          <w14:glow w14:rad="139700">
            <w14:schemeClr w14:val="accent5">
              <w14:alpha w14:val="60000"/>
              <w14:satMod w14:val="175000"/>
            </w14:schemeClr>
          </w14:glow>
        </w:rPr>
        <w:t xml:space="preserve"> y llenado de </w:t>
      </w:r>
      <w:r w:rsidRPr="003450E4">
        <w:rPr>
          <w:b/>
          <w:color w:val="0000FF"/>
          <w:sz w:val="24"/>
          <w14:glow w14:rad="139700">
            <w14:schemeClr w14:val="accent5">
              <w14:alpha w14:val="60000"/>
              <w14:satMod w14:val="175000"/>
            </w14:schemeClr>
          </w14:glow>
        </w:rPr>
        <w:t>vacíos</w:t>
      </w:r>
      <w:r w:rsidRPr="003450E4">
        <w:rPr>
          <w:b/>
          <w:color w:val="00B050"/>
          <w:sz w:val="24"/>
          <w14:glow w14:rad="139700">
            <w14:schemeClr w14:val="accent5">
              <w14:alpha w14:val="60000"/>
              <w14:satMod w14:val="175000"/>
            </w14:schemeClr>
          </w14:glow>
        </w:rPr>
        <w:t>:</w:t>
      </w:r>
      <w:r w:rsidRPr="003450E4">
        <w:rPr>
          <w:color w:val="00B050"/>
          <w:sz w:val="24"/>
          <w14:glow w14:rad="139700">
            <w14:schemeClr w14:val="accent5">
              <w14:alpha w14:val="60000"/>
              <w14:satMod w14:val="175000"/>
            </w14:schemeClr>
          </w14:glow>
        </w:rPr>
        <w:t xml:space="preserve"> </w:t>
      </w:r>
      <w:r w:rsidRPr="003450E4">
        <w:rPr>
          <w:color w:val="00B050"/>
          <w:sz w:val="24"/>
        </w:rPr>
        <w:t xml:space="preserve">la instrucción debe diseñarse para hacer énfasis en las habilidades de extrapolación y llenado de </w:t>
      </w:r>
      <w:r w:rsidR="008754BA" w:rsidRPr="003450E4">
        <w:rPr>
          <w:color w:val="00B050"/>
          <w:sz w:val="24"/>
        </w:rPr>
        <w:t>vacíos</w:t>
      </w:r>
      <w:r w:rsidRPr="003450E4">
        <w:rPr>
          <w:color w:val="00B050"/>
          <w:sz w:val="24"/>
        </w:rPr>
        <w:t xml:space="preserve"> en los temas por parte del estudiante.</w:t>
      </w:r>
    </w:p>
    <w:p w:rsidR="00A15294" w:rsidRPr="003450E4" w:rsidRDefault="00A15294" w:rsidP="00A06042">
      <w:pPr>
        <w:pStyle w:val="Prrafodelista"/>
        <w:numPr>
          <w:ilvl w:val="0"/>
          <w:numId w:val="4"/>
        </w:numPr>
        <w:spacing w:line="240" w:lineRule="auto"/>
        <w:ind w:left="1208" w:right="181" w:hanging="357"/>
        <w:jc w:val="both"/>
        <w:rPr>
          <w:color w:val="00B050"/>
          <w:sz w:val="24"/>
        </w:rPr>
      </w:pPr>
      <w:r w:rsidRPr="003450E4">
        <w:rPr>
          <w:b/>
          <w:color w:val="0000FF"/>
          <w:sz w:val="24"/>
          <w14:glow w14:rad="139700">
            <w14:schemeClr w14:val="accent5">
              <w14:alpha w14:val="60000"/>
              <w14:satMod w14:val="175000"/>
            </w14:schemeClr>
          </w14:glow>
        </w:rPr>
        <w:t>Primero la estructura:</w:t>
      </w:r>
      <w:r>
        <w:rPr>
          <w:sz w:val="24"/>
        </w:rPr>
        <w:t xml:space="preserve"> </w:t>
      </w:r>
      <w:r w:rsidRPr="003450E4">
        <w:rPr>
          <w:color w:val="00B050"/>
          <w:sz w:val="24"/>
        </w:rPr>
        <w:t xml:space="preserve">enseñarle a los estudiantes primero la </w:t>
      </w:r>
      <w:r w:rsidR="008754BA" w:rsidRPr="003450E4">
        <w:rPr>
          <w:color w:val="00B050"/>
          <w:sz w:val="24"/>
        </w:rPr>
        <w:t>estructura</w:t>
      </w:r>
      <w:r w:rsidRPr="003450E4">
        <w:rPr>
          <w:color w:val="00B050"/>
          <w:sz w:val="24"/>
        </w:rPr>
        <w:t xml:space="preserve"> o patrones de lo que están aprendiendo, y después concentrarse en los hechos y figuras.</w:t>
      </w:r>
    </w:p>
    <w:p w:rsidR="00A15294" w:rsidRPr="00A15294" w:rsidRDefault="00A15294" w:rsidP="003450E4">
      <w:pPr>
        <w:spacing w:line="240" w:lineRule="auto"/>
        <w:ind w:left="1208" w:right="851" w:hanging="357"/>
        <w:rPr>
          <w:sz w:val="24"/>
        </w:rPr>
      </w:pPr>
      <w:bookmarkStart w:id="0" w:name="_GoBack"/>
      <w:bookmarkEnd w:id="0"/>
    </w:p>
    <w:sectPr w:rsidR="00A15294" w:rsidRPr="00A152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743"/>
    <w:multiLevelType w:val="hybridMultilevel"/>
    <w:tmpl w:val="B7C6AD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552864"/>
    <w:multiLevelType w:val="hybridMultilevel"/>
    <w:tmpl w:val="9DEA97D0"/>
    <w:lvl w:ilvl="0" w:tplc="0C0A0009">
      <w:start w:val="1"/>
      <w:numFmt w:val="bullet"/>
      <w:lvlText w:val=""/>
      <w:lvlJc w:val="left"/>
      <w:pPr>
        <w:ind w:left="1495" w:hanging="360"/>
      </w:pPr>
      <w:rPr>
        <w:rFonts w:ascii="Wingdings" w:hAnsi="Wingdings"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nsid w:val="4453763C"/>
    <w:multiLevelType w:val="hybridMultilevel"/>
    <w:tmpl w:val="1D5A8ED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8087236"/>
    <w:multiLevelType w:val="hybridMultilevel"/>
    <w:tmpl w:val="ABAA1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DA"/>
    <w:rsid w:val="002967D1"/>
    <w:rsid w:val="003450E4"/>
    <w:rsid w:val="00372365"/>
    <w:rsid w:val="00465435"/>
    <w:rsid w:val="004A15C3"/>
    <w:rsid w:val="00823BEF"/>
    <w:rsid w:val="008754BA"/>
    <w:rsid w:val="009B5DBC"/>
    <w:rsid w:val="00A06042"/>
    <w:rsid w:val="00A15294"/>
    <w:rsid w:val="00CD2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3B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3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A_USER11</dc:creator>
  <cp:lastModifiedBy>A_USER11</cp:lastModifiedBy>
  <cp:revision>2</cp:revision>
  <dcterms:created xsi:type="dcterms:W3CDTF">2011-07-18T16:52:00Z</dcterms:created>
  <dcterms:modified xsi:type="dcterms:W3CDTF">2011-07-18T16:52:00Z</dcterms:modified>
</cp:coreProperties>
</file>